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ILKEM EAGLE TERRACE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Данные участка: АДА/ПАРСЕЛЬ - 167/3 </w:t>
        <w:br w:type="textWrapping"/>
        <w:br w:type="textWrapping"/>
        <w:t xml:space="preserve">ЛОКАЦИЯ: ТОМЮК, ЭРДЕМЛИ, МЕРСИН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Общие характеристики: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Термостойкие блоки BIMS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Интеллектуальная лифтовая система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Генератор</w:t>
        <w:br w:type="textWrapping"/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Особенности интерьера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ПОДВЕСНОЙ ПОТОЛОК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КУХОННЫЕ ШКАФЫ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 ГАРДЕРОБ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ШКАФЫ ДЛЯ ГАРДЕРОБНОЙ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5. ШКАФЫ ДЛЯ ВАННОЙ КОМНАТЫ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6. КУХОННЫЕ СТОЛЕШНИЦЫ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7. СТАЛЬНАЯ ДВЕРЬ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8. ОКНА ПВХ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9. САНТЕХНИКА 1 КЛАССА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11. ДУШЕВАЯ КАБИНА 1 КЛАССА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12. Ламинат с 10-миллиметровым швом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Особенности социальной сферы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1. ОТКРЫТЫЙ БАССЕЙН, АКВАПАРК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2. ОТКРЫТАЯ ПАРКОВКА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 ОТКРЫТАЯ ДЕТСКАЯ ИГРОВАЯ ПЛОЩАДКА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4. КАМЕЛИИ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5. КРЫТЫЙ И ОТКРЫТЫЙ ФИТНЕС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ПЛОЩАДЬ УЧАСТКА 6600 м2, КОМПЛЕКС СОСТОИТ ИЗ 3 БЛОКОВ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БЛОК A СОСТОИТ ИЗ 14 ЭТАЖЕЙ, </w:t>
        <w:br w:type="textWrapping"/>
        <w:t xml:space="preserve">В и  D БЛОКИ  ИЗ 11 ЭТАЖЕЙ</w:t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НА КАЖДОМ ЭТАЖЕ ПО 5 КВАРТИР, КВАРТИРЫ 2+1 и 1+1 </w:t>
        <w:br w:type="textWrapping"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НАША ДАТА НАЧАЛА СТРОИТЕЛЬСВА: 30.08.2022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ОКОНЧАНИЕ СТРОИТЕЛЬСТВА: 30.11.2024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FD5XjO8SEF8xwFEokP3AazpbQ==">CgMxLjA4AHIhMWtORTVhVzRDdzNhNDhyMG16Sk51UmNFMUZUSkdGM2tX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2023-07-05T08:20:00Z</dcterms:created>
  <dc:creator>Microsoft Office User</dc:creator>
</cp:coreProperties>
</file>